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40"/>
        <w:gridCol w:w="7650"/>
      </w:tblGrid>
      <w:tr w:rsidR="00AE3CDB" w:rsidTr="00AE3CDB">
        <w:trPr>
          <w:cantSplit/>
          <w:trHeight w:val="420"/>
          <w:tblHeader/>
        </w:trPr>
        <w:tc>
          <w:tcPr>
            <w:tcW w:w="9990" w:type="dxa"/>
            <w:gridSpan w:val="2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CDB" w:rsidRDefault="00AE3CDB" w:rsidP="00AE3CDB">
            <w:pPr>
              <w:jc w:val="center"/>
              <w:rPr>
                <w:rFonts w:ascii="Arial Bold" w:hAnsi="Arial Bold"/>
                <w:color w:val="FFFFFF" w:themeColor="background1"/>
                <w:sz w:val="28"/>
                <w:szCs w:val="28"/>
              </w:rPr>
            </w:pPr>
            <w:r>
              <w:rPr>
                <w:rFonts w:ascii="Arial Bold" w:hAnsi="Arial Bold"/>
                <w:color w:val="FFFFFF" w:themeColor="background1"/>
                <w:sz w:val="28"/>
                <w:szCs w:val="28"/>
              </w:rPr>
              <w:t xml:space="preserve">Environmental Management Plan </w:t>
            </w:r>
            <w:r w:rsidR="00DE2DF2">
              <w:rPr>
                <w:rFonts w:ascii="Arial Bold" w:hAnsi="Arial Bold"/>
                <w:color w:val="FFFFFF" w:themeColor="background1"/>
                <w:sz w:val="28"/>
                <w:szCs w:val="28"/>
              </w:rPr>
              <w:t xml:space="preserve">(EMP) </w:t>
            </w:r>
            <w:r>
              <w:rPr>
                <w:rFonts w:ascii="Arial Bold" w:hAnsi="Arial Bold"/>
                <w:color w:val="FFFFFF" w:themeColor="background1"/>
                <w:sz w:val="28"/>
                <w:szCs w:val="28"/>
              </w:rPr>
              <w:t>Implementation</w:t>
            </w:r>
          </w:p>
          <w:p w:rsidR="00AE3CDB" w:rsidRDefault="00AE3CDB" w:rsidP="00AE3CDB">
            <w:pPr>
              <w:jc w:val="center"/>
              <w:rPr>
                <w:rFonts w:ascii="Arial Bold" w:hAnsi="Arial Bold"/>
                <w:color w:val="FFFFFF" w:themeColor="background1"/>
                <w:sz w:val="28"/>
                <w:szCs w:val="28"/>
              </w:rPr>
            </w:pPr>
            <w:r>
              <w:rPr>
                <w:rFonts w:ascii="Arial Bold" w:hAnsi="Arial Bold"/>
                <w:color w:val="FFFFFF" w:themeColor="background1"/>
                <w:sz w:val="28"/>
                <w:szCs w:val="28"/>
              </w:rPr>
              <w:t>Roles and Responsibilities Sample</w:t>
            </w:r>
          </w:p>
          <w:p w:rsidR="00AE3CDB" w:rsidRDefault="00AE3CDB" w:rsidP="00AE3CDB">
            <w:pPr>
              <w:jc w:val="center"/>
              <w:rPr>
                <w:rFonts w:ascii="Arial Bold" w:hAnsi="Arial Bold"/>
                <w:color w:val="FFFFFF" w:themeColor="background1"/>
                <w:sz w:val="28"/>
                <w:szCs w:val="28"/>
              </w:rPr>
            </w:pPr>
            <w:r>
              <w:rPr>
                <w:rFonts w:ascii="Arial Bold" w:hAnsi="Arial Bold"/>
                <w:color w:val="FFFFFF" w:themeColor="background1"/>
                <w:sz w:val="28"/>
                <w:szCs w:val="28"/>
              </w:rPr>
              <w:t>Credit:  Sema:th EMP</w:t>
            </w:r>
          </w:p>
          <w:p w:rsidR="00AE3CDB" w:rsidRDefault="00AE3CDB" w:rsidP="00AE3CDB">
            <w:pPr>
              <w:jc w:val="center"/>
              <w:rPr>
                <w:rFonts w:ascii="Arial Bold" w:hAnsi="Arial Bold"/>
                <w:color w:val="FFFFFF" w:themeColor="background1"/>
                <w:sz w:val="28"/>
                <w:szCs w:val="28"/>
              </w:rPr>
            </w:pPr>
          </w:p>
        </w:tc>
      </w:tr>
      <w:tr w:rsidR="00AE3CDB" w:rsidTr="00AE3CDB">
        <w:trPr>
          <w:cantSplit/>
          <w:trHeight w:val="420"/>
          <w:tblHeader/>
        </w:trPr>
        <w:tc>
          <w:tcPr>
            <w:tcW w:w="2340" w:type="dxa"/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CDB" w:rsidRPr="00B025D9" w:rsidRDefault="00AE3CDB" w:rsidP="00B025D9">
            <w:pPr>
              <w:rPr>
                <w:rFonts w:ascii="Arial Bold" w:hAnsi="Arial Bold"/>
                <w:color w:val="FFFFFF" w:themeColor="background1"/>
                <w:sz w:val="28"/>
                <w:szCs w:val="28"/>
              </w:rPr>
            </w:pPr>
            <w:r w:rsidRPr="00B025D9">
              <w:rPr>
                <w:rFonts w:ascii="Arial Bold" w:hAnsi="Arial Bold"/>
                <w:color w:val="FFFFFF" w:themeColor="background1"/>
                <w:sz w:val="28"/>
                <w:szCs w:val="28"/>
              </w:rPr>
              <w:t>Body or organization</w:t>
            </w:r>
          </w:p>
        </w:tc>
        <w:tc>
          <w:tcPr>
            <w:tcW w:w="7650" w:type="dxa"/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CDB" w:rsidRPr="00B025D9" w:rsidRDefault="00AE3CDB" w:rsidP="00B025D9">
            <w:pPr>
              <w:rPr>
                <w:rFonts w:ascii="Arial Bold" w:hAnsi="Arial Bold"/>
                <w:color w:val="FFFFFF" w:themeColor="background1"/>
                <w:sz w:val="28"/>
                <w:szCs w:val="28"/>
              </w:rPr>
            </w:pPr>
            <w:r>
              <w:rPr>
                <w:rFonts w:ascii="Arial Bold" w:hAnsi="Arial Bold"/>
                <w:color w:val="FFFFFF" w:themeColor="background1"/>
                <w:sz w:val="28"/>
                <w:szCs w:val="28"/>
              </w:rPr>
              <w:t xml:space="preserve">Sample:  </w:t>
            </w:r>
            <w:r w:rsidRPr="00B025D9">
              <w:rPr>
                <w:rFonts w:ascii="Arial Bold" w:hAnsi="Arial Bold"/>
                <w:color w:val="FFFFFF" w:themeColor="background1"/>
                <w:sz w:val="28"/>
                <w:szCs w:val="28"/>
              </w:rPr>
              <w:t>Role in E</w:t>
            </w:r>
            <w:r>
              <w:rPr>
                <w:rFonts w:ascii="Arial Bold" w:hAnsi="Arial Bold"/>
                <w:color w:val="FFFFFF" w:themeColor="background1"/>
                <w:sz w:val="28"/>
                <w:szCs w:val="28"/>
              </w:rPr>
              <w:t>MP</w:t>
            </w:r>
          </w:p>
          <w:p w:rsidR="00AE3CDB" w:rsidRPr="00B025D9" w:rsidRDefault="00AE3CDB" w:rsidP="00A87F87">
            <w:pPr>
              <w:rPr>
                <w:rFonts w:ascii="Arial Bold" w:hAnsi="Arial Bold"/>
                <w:color w:val="FFFFFF" w:themeColor="background1"/>
                <w:sz w:val="28"/>
                <w:szCs w:val="28"/>
              </w:rPr>
            </w:pPr>
          </w:p>
        </w:tc>
      </w:tr>
      <w:tr w:rsidR="00AE3CDB" w:rsidTr="00AE3CDB">
        <w:trPr>
          <w:cantSplit/>
          <w:trHeight w:val="1320"/>
        </w:trPr>
        <w:tc>
          <w:tcPr>
            <w:tcW w:w="234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CDB" w:rsidRDefault="00AE3CDB" w:rsidP="00A87F87">
            <w:pPr>
              <w:spacing w:after="120"/>
            </w:pPr>
            <w:r>
              <w:t>Chief and Council</w:t>
            </w:r>
          </w:p>
        </w:tc>
        <w:tc>
          <w:tcPr>
            <w:tcW w:w="76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CDB" w:rsidRDefault="00AE3CDB" w:rsidP="00AE3CDB">
            <w:pPr>
              <w:spacing w:after="120"/>
            </w:pPr>
            <w:r>
              <w:t>Establish and define the overall organizational structure, including roles,</w:t>
            </w:r>
            <w:r>
              <w:t xml:space="preserve"> r</w:t>
            </w:r>
            <w:r>
              <w:t>esponsibilities, and authorities to effectively implement and maintain</w:t>
            </w:r>
            <w:r>
              <w:t xml:space="preserve"> t</w:t>
            </w:r>
            <w:r>
              <w:t>he EMP.</w:t>
            </w:r>
          </w:p>
          <w:p w:rsidR="00AE3CDB" w:rsidRDefault="00AE3CDB" w:rsidP="00AE3CDB">
            <w:pPr>
              <w:spacing w:after="120"/>
            </w:pPr>
            <w:r>
              <w:t>Provide the equipment, training, human resources, and funding</w:t>
            </w:r>
            <w:r>
              <w:t xml:space="preserve"> n</w:t>
            </w:r>
            <w:r>
              <w:t>ecessary to implement and maintain the EMP.</w:t>
            </w:r>
          </w:p>
          <w:p w:rsidR="00AE3CDB" w:rsidRDefault="00AE3CDB" w:rsidP="00AE3CDB">
            <w:pPr>
              <w:spacing w:after="120"/>
            </w:pPr>
            <w:r>
              <w:t>Participate annually in the EMP Review Meeting.</w:t>
            </w:r>
          </w:p>
        </w:tc>
      </w:tr>
      <w:tr w:rsidR="00AE3CDB" w:rsidTr="009F2EB7">
        <w:trPr>
          <w:cantSplit/>
          <w:trHeight w:val="1016"/>
        </w:trPr>
        <w:tc>
          <w:tcPr>
            <w:tcW w:w="234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CDB" w:rsidRDefault="00AE3CDB" w:rsidP="00AE3CDB">
            <w:pPr>
              <w:spacing w:after="120"/>
            </w:pPr>
            <w:r>
              <w:t>Lands and Resources Department</w:t>
            </w:r>
          </w:p>
          <w:p w:rsidR="008B27C6" w:rsidRDefault="008B27C6" w:rsidP="00AE3CDB">
            <w:pPr>
              <w:spacing w:after="120"/>
            </w:pPr>
          </w:p>
        </w:tc>
        <w:tc>
          <w:tcPr>
            <w:tcW w:w="76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7C6" w:rsidRPr="008B27C6" w:rsidRDefault="008B27C6" w:rsidP="00DE2DF2">
            <w:pPr>
              <w:autoSpaceDE w:val="0"/>
              <w:autoSpaceDN w:val="0"/>
              <w:adjustRightInd w:val="0"/>
              <w:rPr>
                <w:b/>
              </w:rPr>
            </w:pP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 xml:space="preserve">The </w:t>
            </w:r>
            <w:r>
              <w:rPr>
                <w:rFonts w:eastAsiaTheme="minorHAnsi" w:cs="Arial"/>
                <w:color w:val="auto"/>
                <w:szCs w:val="20"/>
                <w:lang w:val="en-US"/>
              </w:rPr>
              <w:t xml:space="preserve">Lands Governance Director or </w:t>
            </w: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Lands &amp; Resources</w:t>
            </w:r>
            <w:r>
              <w:rPr>
                <w:rFonts w:eastAsiaTheme="minorHAnsi" w:cs="Arial"/>
                <w:color w:val="auto"/>
                <w:szCs w:val="20"/>
                <w:lang w:val="en-US"/>
              </w:rPr>
              <w:t xml:space="preserve"> </w:t>
            </w: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Manager is ultimately</w:t>
            </w:r>
            <w:r>
              <w:rPr>
                <w:rFonts w:eastAsiaTheme="minorHAnsi" w:cs="Arial"/>
                <w:color w:val="auto"/>
                <w:szCs w:val="20"/>
                <w:lang w:val="en-US"/>
              </w:rPr>
              <w:t xml:space="preserve"> </w:t>
            </w: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responsible for the</w:t>
            </w:r>
            <w:r>
              <w:rPr>
                <w:rFonts w:eastAsiaTheme="minorHAnsi" w:cs="Arial"/>
                <w:color w:val="auto"/>
                <w:szCs w:val="20"/>
                <w:lang w:val="en-US"/>
              </w:rPr>
              <w:t xml:space="preserve"> </w:t>
            </w: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following tasks but is</w:t>
            </w:r>
            <w:r>
              <w:rPr>
                <w:rFonts w:eastAsiaTheme="minorHAnsi" w:cs="Arial"/>
                <w:color w:val="auto"/>
                <w:szCs w:val="20"/>
                <w:lang w:val="en-US"/>
              </w:rPr>
              <w:t xml:space="preserve"> </w:t>
            </w: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allowed to delegate</w:t>
            </w:r>
            <w:r>
              <w:rPr>
                <w:rFonts w:eastAsiaTheme="minorHAnsi" w:cs="Arial"/>
                <w:color w:val="auto"/>
                <w:szCs w:val="20"/>
                <w:lang w:val="en-US"/>
              </w:rPr>
              <w:t xml:space="preserve"> </w:t>
            </w: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procedural aspects to other</w:t>
            </w:r>
            <w:r>
              <w:rPr>
                <w:rFonts w:eastAsiaTheme="minorHAnsi" w:cs="Arial"/>
                <w:color w:val="auto"/>
                <w:szCs w:val="20"/>
                <w:lang w:val="en-US"/>
              </w:rPr>
              <w:t xml:space="preserve"> </w:t>
            </w: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department staff and/or</w:t>
            </w:r>
            <w:r>
              <w:rPr>
                <w:rFonts w:eastAsiaTheme="minorHAnsi" w:cs="Arial"/>
                <w:color w:val="auto"/>
                <w:szCs w:val="20"/>
                <w:lang w:val="en-US"/>
              </w:rPr>
              <w:t xml:space="preserve"> </w:t>
            </w: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 xml:space="preserve">other </w:t>
            </w:r>
            <w:r w:rsidR="00DE2DF2">
              <w:rPr>
                <w:rFonts w:eastAsiaTheme="minorHAnsi" w:cs="Arial"/>
                <w:color w:val="auto"/>
                <w:szCs w:val="20"/>
                <w:lang w:val="en-US"/>
              </w:rPr>
              <w:t>First Nation (FN)</w:t>
            </w: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 xml:space="preserve"> departments,</w:t>
            </w:r>
            <w:r>
              <w:rPr>
                <w:rFonts w:eastAsiaTheme="minorHAnsi" w:cs="Arial"/>
                <w:color w:val="auto"/>
                <w:szCs w:val="20"/>
                <w:lang w:val="en-US"/>
              </w:rPr>
              <w:t xml:space="preserve"> </w:t>
            </w: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contractors, agencies, etc.,</w:t>
            </w:r>
            <w:r>
              <w:rPr>
                <w:rFonts w:eastAsiaTheme="minorHAnsi" w:cs="Arial"/>
                <w:color w:val="auto"/>
                <w:szCs w:val="20"/>
                <w:lang w:val="en-US"/>
              </w:rPr>
              <w:t xml:space="preserve"> </w:t>
            </w: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as appropriate.</w:t>
            </w:r>
          </w:p>
        </w:tc>
      </w:tr>
      <w:tr w:rsidR="009F2EB7" w:rsidTr="00AE3CDB">
        <w:trPr>
          <w:cantSplit/>
          <w:trHeight w:val="1440"/>
        </w:trPr>
        <w:tc>
          <w:tcPr>
            <w:tcW w:w="234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EB7" w:rsidRDefault="009F2EB7" w:rsidP="009F2EB7">
            <w:pPr>
              <w:spacing w:after="120"/>
            </w:pPr>
            <w:r>
              <w:t>Lands and Resources Department</w:t>
            </w:r>
          </w:p>
          <w:p w:rsidR="009F2EB7" w:rsidRDefault="009F2EB7" w:rsidP="00AE3CDB">
            <w:pPr>
              <w:spacing w:after="120"/>
            </w:pPr>
          </w:p>
        </w:tc>
        <w:tc>
          <w:tcPr>
            <w:tcW w:w="76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EB7" w:rsidRPr="008B27C6" w:rsidRDefault="009F2EB7" w:rsidP="009F2EB7">
            <w:pPr>
              <w:spacing w:after="120"/>
              <w:rPr>
                <w:b/>
                <w:bCs/>
                <w:lang w:val="en-US"/>
              </w:rPr>
            </w:pPr>
            <w:r w:rsidRPr="008B27C6">
              <w:rPr>
                <w:b/>
                <w:bCs/>
                <w:lang w:val="en-US"/>
              </w:rPr>
              <w:t>Maintain the Approved EMP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3"/>
              </w:numPr>
              <w:spacing w:after="120"/>
              <w:rPr>
                <w:lang w:val="en-US"/>
              </w:rPr>
            </w:pPr>
            <w:r w:rsidRPr="008B27C6">
              <w:rPr>
                <w:lang w:val="en-US"/>
              </w:rPr>
              <w:t>Conduct or assign responsibilities for EMP/E</w:t>
            </w:r>
            <w:r w:rsidR="00DE2DF2">
              <w:rPr>
                <w:lang w:val="en-US"/>
              </w:rPr>
              <w:t>nvironmental Operating Procedures (E</w:t>
            </w:r>
            <w:r w:rsidRPr="008B27C6">
              <w:rPr>
                <w:lang w:val="en-US"/>
              </w:rPr>
              <w:t>OP</w:t>
            </w:r>
            <w:r w:rsidR="00DE2DF2">
              <w:rPr>
                <w:lang w:val="en-US"/>
              </w:rPr>
              <w:t>)</w:t>
            </w:r>
            <w:r w:rsidRPr="008B27C6">
              <w:rPr>
                <w:lang w:val="en-US"/>
              </w:rPr>
              <w:t xml:space="preserve"> reviews and inspections and related documentation.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3"/>
              </w:numPr>
              <w:spacing w:after="120"/>
              <w:rPr>
                <w:lang w:val="en-US"/>
              </w:rPr>
            </w:pPr>
            <w:r w:rsidRPr="008B27C6">
              <w:rPr>
                <w:lang w:val="en-US"/>
              </w:rPr>
              <w:t>Maintain current EOPs within the EMP.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3"/>
              </w:numPr>
              <w:spacing w:after="120"/>
              <w:rPr>
                <w:lang w:val="en-US"/>
              </w:rPr>
            </w:pPr>
            <w:r w:rsidRPr="008B27C6">
              <w:rPr>
                <w:lang w:val="en-US"/>
              </w:rPr>
              <w:t>Establish and implement EMP document control procedures.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3"/>
              </w:numPr>
              <w:spacing w:after="120"/>
              <w:rPr>
                <w:lang w:val="en-US"/>
              </w:rPr>
            </w:pPr>
            <w:r w:rsidRPr="008B27C6">
              <w:rPr>
                <w:lang w:val="en-US"/>
              </w:rPr>
              <w:t>Ensure that legal requirements relevant to the EMP are reviewed annually.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3"/>
              </w:numPr>
              <w:spacing w:after="120"/>
              <w:rPr>
                <w:lang w:val="en-US"/>
              </w:rPr>
            </w:pPr>
            <w:r w:rsidRPr="008B27C6">
              <w:rPr>
                <w:lang w:val="en-US"/>
              </w:rPr>
              <w:t>Maintain a central, electronic and hard copy version of the EMP.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3"/>
              </w:numPr>
              <w:spacing w:after="120"/>
              <w:rPr>
                <w:lang w:val="en-US"/>
              </w:rPr>
            </w:pPr>
            <w:r w:rsidRPr="008B27C6">
              <w:rPr>
                <w:lang w:val="en-US"/>
              </w:rPr>
              <w:t>Prepare the Annual EMP Review Report.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3"/>
              </w:numPr>
              <w:spacing w:after="120"/>
              <w:rPr>
                <w:lang w:val="en-US"/>
              </w:rPr>
            </w:pPr>
            <w:r w:rsidRPr="008B27C6">
              <w:rPr>
                <w:lang w:val="en-US"/>
              </w:rPr>
              <w:t>Coordinate and participate in the Annual EMP Review meeting.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3"/>
              </w:numPr>
              <w:spacing w:after="120"/>
              <w:rPr>
                <w:lang w:val="en-US"/>
              </w:rPr>
            </w:pPr>
            <w:r w:rsidRPr="008B27C6">
              <w:rPr>
                <w:lang w:val="en-US"/>
              </w:rPr>
              <w:t>Prepare an annual budget for Chief and Council to review and approve for the implementation and maintenance of the EMP.</w:t>
            </w:r>
          </w:p>
          <w:p w:rsidR="009F2EB7" w:rsidRPr="008B27C6" w:rsidRDefault="009F2EB7" w:rsidP="00DE2DF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Theme="minorHAnsi" w:cs="Arial"/>
                <w:color w:val="auto"/>
                <w:szCs w:val="20"/>
                <w:lang w:val="en-US"/>
              </w:rPr>
            </w:pPr>
            <w:r>
              <w:t xml:space="preserve">Ensure that adequate training of </w:t>
            </w:r>
            <w:r w:rsidR="00DE2DF2">
              <w:t>FN</w:t>
            </w:r>
            <w:r>
              <w:t xml:space="preserve"> staff is provided related to the implementation and requirements of the EMP.</w:t>
            </w:r>
          </w:p>
        </w:tc>
      </w:tr>
      <w:tr w:rsidR="009F2EB7" w:rsidTr="00AE3CDB">
        <w:trPr>
          <w:cantSplit/>
          <w:trHeight w:val="1440"/>
        </w:trPr>
        <w:tc>
          <w:tcPr>
            <w:tcW w:w="234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EB7" w:rsidRDefault="009F2EB7" w:rsidP="009F2EB7">
            <w:pPr>
              <w:spacing w:after="120"/>
            </w:pPr>
            <w:r>
              <w:t>Lands and Resources Department</w:t>
            </w:r>
          </w:p>
          <w:p w:rsidR="009F2EB7" w:rsidRDefault="009F2EB7" w:rsidP="00AE3CDB">
            <w:pPr>
              <w:spacing w:after="120"/>
            </w:pPr>
          </w:p>
        </w:tc>
        <w:tc>
          <w:tcPr>
            <w:tcW w:w="76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EB7" w:rsidRDefault="009F2EB7" w:rsidP="009F2EB7">
            <w:pPr>
              <w:spacing w:after="120"/>
              <w:rPr>
                <w:b/>
              </w:rPr>
            </w:pPr>
            <w:r>
              <w:rPr>
                <w:b/>
              </w:rPr>
              <w:t>Communicate the EMP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Cs w:val="20"/>
                <w:lang w:val="en-US"/>
              </w:rPr>
            </w:pP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Ensure that staff and contractors are aware of the EMP and EOP requirements and objectives.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Cs w:val="20"/>
                <w:lang w:val="en-US"/>
              </w:rPr>
            </w:pP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Communicate the EMP goals, objectives, and EOPs both internally and externally, and as appropriate.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Cs w:val="20"/>
                <w:lang w:val="en-US"/>
              </w:rPr>
            </w:pP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Liaise with, advise, and report back to Chief and Council on the status of project activities and any environmental issues.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Cs w:val="20"/>
                <w:lang w:val="en-US"/>
              </w:rPr>
            </w:pP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Advise Chief and Council of any non-compliance and any emerging environmental issues and assist in addressing them.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Cs w:val="20"/>
                <w:lang w:val="en-US"/>
              </w:rPr>
            </w:pP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Liaise with regulatory agencies as required.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4"/>
              </w:numPr>
              <w:spacing w:after="120"/>
              <w:rPr>
                <w:b/>
                <w:bCs/>
                <w:lang w:val="en-US"/>
              </w:rPr>
            </w:pP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Maintain a registry of complaints.</w:t>
            </w:r>
          </w:p>
        </w:tc>
      </w:tr>
      <w:tr w:rsidR="009F2EB7" w:rsidTr="00AE3CDB">
        <w:trPr>
          <w:cantSplit/>
          <w:trHeight w:val="1440"/>
        </w:trPr>
        <w:tc>
          <w:tcPr>
            <w:tcW w:w="234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EB7" w:rsidRDefault="009F2EB7" w:rsidP="009F2EB7">
            <w:pPr>
              <w:spacing w:after="120"/>
            </w:pPr>
            <w:r>
              <w:t>Lands and Resources Department</w:t>
            </w:r>
          </w:p>
          <w:p w:rsidR="009F2EB7" w:rsidRDefault="009F2EB7" w:rsidP="00AE3CDB">
            <w:pPr>
              <w:spacing w:after="120"/>
            </w:pPr>
          </w:p>
        </w:tc>
        <w:tc>
          <w:tcPr>
            <w:tcW w:w="76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EB7" w:rsidRDefault="009F2EB7" w:rsidP="009F2EB7">
            <w:pPr>
              <w:spacing w:after="120"/>
              <w:rPr>
                <w:b/>
              </w:rPr>
            </w:pPr>
            <w:r w:rsidRPr="008B27C6">
              <w:rPr>
                <w:b/>
              </w:rPr>
              <w:t>Review Compliance with the EMP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Cs w:val="20"/>
                <w:lang w:val="en-US"/>
              </w:rPr>
            </w:pP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Schedule and coordinate internal EMP and EOP reviews.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Cs w:val="20"/>
                <w:lang w:val="en-US"/>
              </w:rPr>
            </w:pP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Implement or assign corrective action as required in response to inspection or monitoring results, audit findings, Chief and Council reviews or incidence reports.</w:t>
            </w:r>
          </w:p>
          <w:p w:rsidR="009F2EB7" w:rsidRPr="008B27C6" w:rsidRDefault="009F2EB7" w:rsidP="009F2E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Cs w:val="20"/>
                <w:lang w:val="en-US"/>
              </w:rPr>
            </w:pP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Monitor contractor’s compliance.</w:t>
            </w:r>
          </w:p>
          <w:p w:rsidR="009F2EB7" w:rsidRDefault="009F2EB7" w:rsidP="009F2E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8B27C6">
              <w:rPr>
                <w:rFonts w:eastAsiaTheme="minorHAnsi" w:cs="Arial"/>
                <w:color w:val="auto"/>
                <w:szCs w:val="20"/>
                <w:lang w:val="en-US"/>
              </w:rPr>
              <w:t>Periodically review monitoring reports to ensure required data is being collected.</w:t>
            </w:r>
          </w:p>
        </w:tc>
      </w:tr>
      <w:tr w:rsidR="00AE3CDB" w:rsidTr="009F2EB7">
        <w:trPr>
          <w:cantSplit/>
          <w:trHeight w:val="2015"/>
        </w:trPr>
        <w:tc>
          <w:tcPr>
            <w:tcW w:w="234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EB7" w:rsidRDefault="009F2EB7" w:rsidP="009F2EB7">
            <w:pPr>
              <w:spacing w:after="120"/>
            </w:pPr>
            <w:r>
              <w:lastRenderedPageBreak/>
              <w:t>Lands and Resources Department</w:t>
            </w:r>
          </w:p>
          <w:p w:rsidR="00AE3CDB" w:rsidRDefault="00AE3CDB" w:rsidP="00A87F87">
            <w:pPr>
              <w:spacing w:after="120"/>
            </w:pPr>
          </w:p>
        </w:tc>
        <w:tc>
          <w:tcPr>
            <w:tcW w:w="76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7C6" w:rsidRPr="009F2EB7" w:rsidRDefault="008B27C6" w:rsidP="009F2EB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</w:rPr>
            </w:pPr>
            <w:r w:rsidRPr="009F2EB7">
              <w:rPr>
                <w:rFonts w:cs="Arial"/>
                <w:b/>
              </w:rPr>
              <w:t>Maintain EMP Related Documents (including but not limited to):</w:t>
            </w:r>
          </w:p>
          <w:p w:rsidR="008B27C6" w:rsidRPr="009F2EB7" w:rsidRDefault="008B27C6" w:rsidP="009F2E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Cs w:val="20"/>
                <w:lang w:val="en-US"/>
              </w:rPr>
            </w:pPr>
            <w:r w:rsidRPr="009F2EB7">
              <w:rPr>
                <w:rFonts w:eastAsiaTheme="minorHAnsi" w:cs="Arial"/>
                <w:color w:val="auto"/>
                <w:szCs w:val="20"/>
                <w:lang w:val="en-US"/>
              </w:rPr>
              <w:t>Environmental permits, approvals and government agency correspondence related to the EMP.</w:t>
            </w:r>
          </w:p>
          <w:p w:rsidR="008B27C6" w:rsidRPr="009F2EB7" w:rsidRDefault="008B27C6" w:rsidP="009F2E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Cs w:val="20"/>
                <w:lang w:val="en-US"/>
              </w:rPr>
            </w:pPr>
            <w:r w:rsidRPr="009F2EB7">
              <w:rPr>
                <w:rFonts w:eastAsiaTheme="minorHAnsi" w:cs="Arial"/>
                <w:color w:val="auto"/>
                <w:szCs w:val="20"/>
                <w:lang w:val="en-US"/>
              </w:rPr>
              <w:t>Agreements with fuel, chemical and waste contractors and suppliers for activities related to the EMP.</w:t>
            </w:r>
          </w:p>
          <w:p w:rsidR="00AE3CDB" w:rsidRDefault="008B27C6" w:rsidP="009F2E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9F2EB7">
              <w:rPr>
                <w:rFonts w:eastAsiaTheme="minorHAnsi" w:cs="Arial"/>
                <w:color w:val="auto"/>
                <w:szCs w:val="20"/>
                <w:lang w:val="en-US"/>
              </w:rPr>
              <w:t>Facility site plans, records, checklists, audit reports and related</w:t>
            </w:r>
            <w:r w:rsidR="009F2EB7" w:rsidRPr="009F2EB7">
              <w:rPr>
                <w:rFonts w:eastAsiaTheme="minorHAnsi" w:cs="Arial"/>
                <w:color w:val="auto"/>
                <w:szCs w:val="20"/>
                <w:lang w:val="en-US"/>
              </w:rPr>
              <w:t xml:space="preserve"> documentation.</w:t>
            </w:r>
          </w:p>
        </w:tc>
      </w:tr>
      <w:tr w:rsidR="00AE3CDB" w:rsidTr="00AE3CDB">
        <w:trPr>
          <w:cantSplit/>
          <w:trHeight w:val="2440"/>
        </w:trPr>
        <w:tc>
          <w:tcPr>
            <w:tcW w:w="234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EB7" w:rsidRDefault="009F2EB7" w:rsidP="009F2EB7">
            <w:pPr>
              <w:spacing w:after="120"/>
            </w:pPr>
            <w:r>
              <w:t>Lands and Resources Department</w:t>
            </w:r>
          </w:p>
          <w:p w:rsidR="00AE3CDB" w:rsidRDefault="00AE3CDB" w:rsidP="00A87F87">
            <w:pPr>
              <w:spacing w:after="120"/>
            </w:pPr>
          </w:p>
        </w:tc>
        <w:tc>
          <w:tcPr>
            <w:tcW w:w="76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EB7" w:rsidRPr="009F2EB7" w:rsidRDefault="009F2EB7" w:rsidP="009F2EB7">
            <w:pPr>
              <w:spacing w:after="120"/>
              <w:rPr>
                <w:b/>
              </w:rPr>
            </w:pPr>
            <w:r w:rsidRPr="009F2EB7">
              <w:rPr>
                <w:b/>
              </w:rPr>
              <w:t>Environmental Incidences</w:t>
            </w:r>
          </w:p>
          <w:p w:rsidR="00AE3CDB" w:rsidRDefault="009F2EB7" w:rsidP="009F2EB7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Promptly investigate all reportable environmental incidences to</w:t>
            </w:r>
            <w:r>
              <w:t xml:space="preserve"> </w:t>
            </w:r>
            <w:r>
              <w:t>ensure that appropriate reporting, response and other legal</w:t>
            </w:r>
            <w:r>
              <w:t xml:space="preserve"> </w:t>
            </w:r>
            <w:r>
              <w:t>requirements have been met.</w:t>
            </w:r>
          </w:p>
          <w:p w:rsidR="009F2EB7" w:rsidRDefault="009F2EB7" w:rsidP="009F2EB7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Able to stop work to ensure compliance with regulatory and/or</w:t>
            </w:r>
            <w:r>
              <w:t xml:space="preserve"> </w:t>
            </w:r>
            <w:r>
              <w:t>EMP requirements.</w:t>
            </w:r>
          </w:p>
          <w:p w:rsidR="009F2EB7" w:rsidRDefault="009F2EB7" w:rsidP="009F2EB7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Ensure environmental incidents are reported to the</w:t>
            </w:r>
            <w:r>
              <w:t xml:space="preserve"> </w:t>
            </w:r>
            <w:r>
              <w:t>appropriate/applicable agencies and Chief and Council.</w:t>
            </w:r>
          </w:p>
          <w:p w:rsidR="009F2EB7" w:rsidRDefault="009F2EB7" w:rsidP="009F2EB7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Retain the services of a qualified Environmental Professional to</w:t>
            </w:r>
            <w:r>
              <w:t xml:space="preserve"> </w:t>
            </w:r>
            <w:r>
              <w:t>assess and mitigate risk associated with impacts to the</w:t>
            </w:r>
            <w:r>
              <w:t xml:space="preserve"> </w:t>
            </w:r>
            <w:r>
              <w:t>environment.</w:t>
            </w:r>
          </w:p>
        </w:tc>
      </w:tr>
      <w:tr w:rsidR="00AE3CDB" w:rsidTr="00AE3CDB">
        <w:trPr>
          <w:cantSplit/>
          <w:trHeight w:val="980"/>
        </w:trPr>
        <w:tc>
          <w:tcPr>
            <w:tcW w:w="234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CDB" w:rsidRDefault="009F2EB7" w:rsidP="00A87F87">
            <w:pPr>
              <w:spacing w:after="120"/>
            </w:pPr>
            <w:r>
              <w:t>Contractors</w:t>
            </w:r>
          </w:p>
        </w:tc>
        <w:tc>
          <w:tcPr>
            <w:tcW w:w="765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EB7" w:rsidRDefault="009F2EB7" w:rsidP="009F2EB7">
            <w:pPr>
              <w:spacing w:after="120"/>
            </w:pPr>
            <w:r>
              <w:t>Adhere to the requirements set out in the EMP and other applicable</w:t>
            </w:r>
            <w:r>
              <w:t xml:space="preserve"> </w:t>
            </w:r>
            <w:r>
              <w:t>legislation.</w:t>
            </w:r>
          </w:p>
          <w:p w:rsidR="009F2EB7" w:rsidRDefault="009F2EB7" w:rsidP="009F2EB7">
            <w:pPr>
              <w:spacing w:after="120"/>
            </w:pPr>
            <w:r>
              <w:t>Communicate environmental responsibilities and requirements of this</w:t>
            </w:r>
            <w:r>
              <w:t xml:space="preserve"> </w:t>
            </w:r>
            <w:r>
              <w:t>EMP to their staff and sub-contractors, and record that communication.</w:t>
            </w:r>
          </w:p>
          <w:p w:rsidR="009F2EB7" w:rsidRDefault="009F2EB7" w:rsidP="009F2EB7">
            <w:pPr>
              <w:spacing w:after="120"/>
            </w:pPr>
            <w:r>
              <w:t>Ensure all members of their staff and sub-contractors are trained to</w:t>
            </w:r>
            <w:r>
              <w:t xml:space="preserve"> </w:t>
            </w:r>
            <w:r>
              <w:t>prevent or mitigate environmental impacts.</w:t>
            </w:r>
          </w:p>
          <w:p w:rsidR="009F2EB7" w:rsidRDefault="009F2EB7" w:rsidP="009F2EB7">
            <w:pPr>
              <w:spacing w:after="120"/>
            </w:pPr>
            <w:r>
              <w:t>Ensure all labour, equipment, and materials are available to execute the</w:t>
            </w:r>
            <w:r>
              <w:t xml:space="preserve"> </w:t>
            </w:r>
            <w:r>
              <w:t>project activities and respond to environmental incidents.</w:t>
            </w:r>
          </w:p>
          <w:p w:rsidR="009F2EB7" w:rsidRDefault="009F2EB7" w:rsidP="009F2EB7">
            <w:pPr>
              <w:spacing w:after="120"/>
            </w:pPr>
            <w:r>
              <w:t xml:space="preserve">Correct deficiencies and any non-compliance items raised by </w:t>
            </w:r>
            <w:r w:rsidR="00DE2DF2">
              <w:t>the FN</w:t>
            </w:r>
            <w:bookmarkStart w:id="0" w:name="_GoBack"/>
            <w:bookmarkEnd w:id="0"/>
            <w:r>
              <w:t>.</w:t>
            </w:r>
          </w:p>
          <w:p w:rsidR="00AE3CDB" w:rsidRDefault="009F2EB7" w:rsidP="009F2EB7">
            <w:pPr>
              <w:spacing w:after="120"/>
            </w:pPr>
            <w:r>
              <w:t>Retain the services of a Qualified Environmental Professional to assess</w:t>
            </w:r>
            <w:r>
              <w:t xml:space="preserve"> </w:t>
            </w:r>
            <w:r>
              <w:t>and mitigate risk associated with impacts to the environment.</w:t>
            </w:r>
          </w:p>
        </w:tc>
      </w:tr>
    </w:tbl>
    <w:p w:rsidR="00180B28" w:rsidRDefault="00180B28"/>
    <w:p w:rsidR="00B025D9" w:rsidRDefault="00B025D9" w:rsidP="00B025D9">
      <w:r>
        <w:t xml:space="preserve">NOTE:  </w:t>
      </w:r>
      <w:r w:rsidRPr="00B025D9">
        <w:rPr>
          <w:rFonts w:cs="Arial"/>
          <w:szCs w:val="20"/>
        </w:rPr>
        <w:t xml:space="preserve">As each FN is distinct </w:t>
      </w:r>
      <w:r>
        <w:rPr>
          <w:rFonts w:cs="Arial"/>
          <w:szCs w:val="20"/>
        </w:rPr>
        <w:t xml:space="preserve">in regards to their environmental issues, organizational structure and approach to governance </w:t>
      </w:r>
      <w:r w:rsidRPr="00B025D9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above </w:t>
      </w:r>
      <w:r w:rsidRPr="00B025D9">
        <w:rPr>
          <w:rFonts w:cs="Arial"/>
          <w:szCs w:val="20"/>
        </w:rPr>
        <w:t>information should be considered an illustration, and each FN should identify the</w:t>
      </w:r>
      <w:r>
        <w:rPr>
          <w:rFonts w:cs="Arial"/>
          <w:szCs w:val="20"/>
        </w:rPr>
        <w:t>ir own unique</w:t>
      </w:r>
      <w:r w:rsidRPr="00B025D9">
        <w:rPr>
          <w:rFonts w:cs="Arial"/>
          <w:szCs w:val="20"/>
        </w:rPr>
        <w:t xml:space="preserve"> roles and </w:t>
      </w:r>
      <w:r w:rsidR="00DE2DF2">
        <w:rPr>
          <w:rFonts w:cs="Arial"/>
          <w:szCs w:val="20"/>
        </w:rPr>
        <w:t>responsibilities</w:t>
      </w:r>
      <w:r w:rsidRPr="00B025D9">
        <w:rPr>
          <w:rFonts w:cs="Arial"/>
          <w:szCs w:val="20"/>
        </w:rPr>
        <w:t xml:space="preserve"> in </w:t>
      </w:r>
      <w:r w:rsidR="00DE2DF2">
        <w:rPr>
          <w:rFonts w:cs="Arial"/>
          <w:szCs w:val="20"/>
        </w:rPr>
        <w:t>EMP implem</w:t>
      </w:r>
      <w:r w:rsidRPr="00B025D9">
        <w:rPr>
          <w:rFonts w:cs="Arial"/>
          <w:szCs w:val="20"/>
        </w:rPr>
        <w:t>enta</w:t>
      </w:r>
      <w:r w:rsidR="00DE2DF2">
        <w:rPr>
          <w:rFonts w:cs="Arial"/>
          <w:szCs w:val="20"/>
        </w:rPr>
        <w:t>tion</w:t>
      </w:r>
      <w:r w:rsidRPr="00B025D9">
        <w:rPr>
          <w:rFonts w:cs="Arial"/>
          <w:szCs w:val="20"/>
        </w:rPr>
        <w:t xml:space="preserve">. </w:t>
      </w:r>
    </w:p>
    <w:sectPr w:rsidR="00B025D9" w:rsidSect="00AE3C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9E" w:rsidRDefault="00FA499E" w:rsidP="00B025D9">
      <w:r>
        <w:separator/>
      </w:r>
    </w:p>
  </w:endnote>
  <w:endnote w:type="continuationSeparator" w:id="0">
    <w:p w:rsidR="00FA499E" w:rsidRDefault="00FA499E" w:rsidP="00B0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B025D9">
      <w:tc>
        <w:tcPr>
          <w:tcW w:w="918" w:type="dxa"/>
        </w:tcPr>
        <w:p w:rsidR="00B025D9" w:rsidRDefault="00B025D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color w:val="auto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color w:val="auto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E2DF2" w:rsidRPr="00DE2DF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025D9" w:rsidRDefault="00B025D9">
          <w:pPr>
            <w:pStyle w:val="Footer"/>
          </w:pPr>
        </w:p>
      </w:tc>
    </w:tr>
  </w:tbl>
  <w:p w:rsidR="00B025D9" w:rsidRDefault="00B02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9E" w:rsidRDefault="00FA499E" w:rsidP="00B025D9">
      <w:r>
        <w:separator/>
      </w:r>
    </w:p>
  </w:footnote>
  <w:footnote w:type="continuationSeparator" w:id="0">
    <w:p w:rsidR="00FA499E" w:rsidRDefault="00FA499E" w:rsidP="00B0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3074"/>
    <w:multiLevelType w:val="hybridMultilevel"/>
    <w:tmpl w:val="1668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65C1"/>
    <w:multiLevelType w:val="hybridMultilevel"/>
    <w:tmpl w:val="BB28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E54E3"/>
    <w:multiLevelType w:val="hybridMultilevel"/>
    <w:tmpl w:val="9D844E50"/>
    <w:lvl w:ilvl="0" w:tplc="2B8E3CD2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562F0"/>
    <w:multiLevelType w:val="hybridMultilevel"/>
    <w:tmpl w:val="A0A2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2692"/>
    <w:multiLevelType w:val="hybridMultilevel"/>
    <w:tmpl w:val="DE40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D4737"/>
    <w:multiLevelType w:val="hybridMultilevel"/>
    <w:tmpl w:val="915C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9425E"/>
    <w:multiLevelType w:val="hybridMultilevel"/>
    <w:tmpl w:val="04209436"/>
    <w:lvl w:ilvl="0" w:tplc="8B7EC88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525B7"/>
    <w:multiLevelType w:val="hybridMultilevel"/>
    <w:tmpl w:val="11FA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3C"/>
    <w:rsid w:val="00180B28"/>
    <w:rsid w:val="00197D3C"/>
    <w:rsid w:val="001E722E"/>
    <w:rsid w:val="002F0653"/>
    <w:rsid w:val="008B27C6"/>
    <w:rsid w:val="009F2EB7"/>
    <w:rsid w:val="00AE3CDB"/>
    <w:rsid w:val="00AF26A0"/>
    <w:rsid w:val="00B025D9"/>
    <w:rsid w:val="00DE2DF2"/>
    <w:rsid w:val="00F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3C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5D9"/>
    <w:rPr>
      <w:rFonts w:ascii="Arial" w:eastAsia="ヒラギノ角ゴ Pro W3" w:hAnsi="Arial" w:cs="Times New Roman"/>
      <w:color w:val="000000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2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5D9"/>
    <w:rPr>
      <w:rFonts w:ascii="Arial" w:eastAsia="ヒラギノ角ゴ Pro W3" w:hAnsi="Arial" w:cs="Times New Roman"/>
      <w:color w:val="000000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3C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5D9"/>
    <w:rPr>
      <w:rFonts w:ascii="Arial" w:eastAsia="ヒラギノ角ゴ Pro W3" w:hAnsi="Arial" w:cs="Times New Roman"/>
      <w:color w:val="000000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2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5D9"/>
    <w:rPr>
      <w:rFonts w:ascii="Arial" w:eastAsia="ヒラギノ角ゴ Pro W3" w:hAnsi="Arial" w:cs="Times New Roman"/>
      <w:color w:val="000000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Nahanee</dc:creator>
  <cp:lastModifiedBy>Ruth Nahanee</cp:lastModifiedBy>
  <cp:revision>2</cp:revision>
  <dcterms:created xsi:type="dcterms:W3CDTF">2014-01-07T16:04:00Z</dcterms:created>
  <dcterms:modified xsi:type="dcterms:W3CDTF">2014-01-07T16:04:00Z</dcterms:modified>
</cp:coreProperties>
</file>